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fldChar w:fldCharType="begin"/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instrText xml:space="preserve"> HYPERLINK "https://www.cacem.com.cn/uploadfile/2022/tzgg/144984.pdf" </w:instrTex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fldChar w:fldCharType="separate"/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推荐成果汇总表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fldChar w:fldCharType="end"/>
      </w: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推荐单位：（盖章）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435" w:tblpY="55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669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00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>成果名称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>主申报单位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注：此表由推荐单位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填写，可根据实际数量加页。</w:t>
      </w: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7A47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2024-01-30T08:00:52Z</dcterms:created>
  <dc:creator>DELL</dc:creator>
  <cp:lastModifiedBy>不想上班Plus pro max</cp:lastModifiedBy>
  <dcterms:modified xsi:type="dcterms:W3CDTF">2024-01-30T08:02:27Z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C98FC2B9002F49A0B98E8E9034E0026F_12</vt:lpwstr>
  </property>
</Properties>
</file>