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0" w:firstLineChars="2000"/>
        <w:jc w:val="left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  <w:t>合同编号：</w:t>
      </w: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 Unicode MS" w:eastAsia="Arial Unicode MS"/>
          <w:b/>
          <w:bCs/>
          <w:color w:val="000000"/>
          <w:spacing w:val="4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  <w:t>科研项目研发合同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5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5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color w:val="000000"/>
          <w:sz w:val="32"/>
          <w:szCs w:val="52"/>
          <w:highlight w:val="none"/>
        </w:rPr>
      </w:pP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项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目  名  称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承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担  单  位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  <w:lang w:val="en-US" w:eastAsia="zh-CN"/>
        </w:rPr>
        <w:t>参  与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单  位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承担单位负责人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项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目 负 责 人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起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止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年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限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/>
          <w:color w:val="000000"/>
          <w:sz w:val="32"/>
          <w:szCs w:val="44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/>
          <w:color w:val="000000"/>
          <w:sz w:val="32"/>
          <w:szCs w:val="44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bCs/>
          <w:color w:val="000000"/>
          <w:sz w:val="32"/>
          <w:szCs w:val="30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bCs/>
          <w:color w:val="000000"/>
          <w:sz w:val="32"/>
          <w:szCs w:val="44"/>
          <w:highlight w:val="none"/>
        </w:rPr>
        <w:t>制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000000"/>
          <w:sz w:val="44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44"/>
          <w:szCs w:val="30"/>
          <w:highlight w:val="none"/>
        </w:rPr>
        <w:t>填 写 说 明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一、合同编号由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中施企协科委办公室</w:t>
      </w: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填写。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二、合同</w:t>
      </w:r>
      <w:r>
        <w:rPr>
          <w:rFonts w:ascii="仿宋_GB2312" w:hAnsi="宋体" w:eastAsia="仿宋_GB2312"/>
          <w:color w:val="000000"/>
          <w:sz w:val="32"/>
          <w:highlight w:val="none"/>
        </w:rPr>
        <w:t>文本需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用</w:t>
      </w:r>
      <w:r>
        <w:rPr>
          <w:rFonts w:ascii="仿宋_GB2312" w:hAnsi="宋体" w:eastAsia="仿宋_GB2312"/>
          <w:color w:val="000000"/>
          <w:sz w:val="32"/>
          <w:highlight w:val="none"/>
        </w:rPr>
        <w:t>A4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纸</w:t>
      </w:r>
      <w:r>
        <w:rPr>
          <w:rFonts w:ascii="仿宋_GB2312" w:hAnsi="宋体" w:eastAsia="仿宋_GB2312"/>
          <w:color w:val="000000"/>
          <w:sz w:val="32"/>
          <w:highlight w:val="none"/>
        </w:rPr>
        <w:t>打印，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字迹清晰。字间、行间保持适当距离。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、合同中签约的甲方为</w:t>
      </w: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，乙方为项目承担单位，丙方为项目</w:t>
      </w: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参与单位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。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  <w:r>
        <w:rPr>
          <w:rFonts w:ascii="仿宋_GB2312" w:hAnsi="宋体" w:eastAsia="仿宋_GB2312"/>
          <w:color w:val="000000"/>
          <w:sz w:val="32"/>
          <w:highlight w:val="none"/>
        </w:rPr>
        <w:br w:type="page"/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一、</w:t>
      </w: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>科技研发目标和主要研究内容</w:t>
      </w:r>
    </w:p>
    <w:tbl>
      <w:tblPr>
        <w:tblStyle w:val="10"/>
        <w:tblpPr w:leftFromText="180" w:rightFromText="180" w:vertAnchor="text" w:horzAnchor="margin" w:tblpY="1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8" w:hRule="atLeast"/>
        </w:trPr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  <w:t>研发目标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  <w:t>2.主要研究内容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  <w:t>3.主要创新点</w:t>
            </w:r>
          </w:p>
        </w:tc>
      </w:tr>
    </w:tbl>
    <w:p>
      <w:pPr>
        <w:tabs>
          <w:tab w:val="left" w:pos="1380"/>
        </w:tabs>
        <w:adjustRightInd w:val="0"/>
        <w:snapToGrid w:val="0"/>
        <w:spacing w:line="360" w:lineRule="auto"/>
        <w:ind w:left="1741" w:hanging="1741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二、</w:t>
      </w: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>主要技术经济指标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（要求：指标要尽量量化，“其它”系指专利、论文、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软著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等）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  <w:t>1.主要技术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  <w:lang w:val="en-US" w:eastAsia="zh-CN"/>
              </w:rPr>
              <w:t>经济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  <w:t>指标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  <w:t>2.其它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2"/>
          <w:highlight w:val="none"/>
        </w:rPr>
        <w:t>三、承担单位和</w:t>
      </w:r>
      <w:r>
        <w:rPr>
          <w:rFonts w:hint="eastAsia" w:ascii="仿宋_GB2312" w:eastAsia="仿宋_GB2312"/>
          <w:b/>
          <w:color w:val="000000"/>
          <w:sz w:val="32"/>
          <w:highlight w:val="none"/>
          <w:lang w:eastAsia="zh-CN"/>
        </w:rPr>
        <w:t>参与单位</w:t>
      </w:r>
      <w:r>
        <w:rPr>
          <w:rFonts w:hint="eastAsia" w:ascii="仿宋_GB2312" w:eastAsia="仿宋_GB2312"/>
          <w:b/>
          <w:color w:val="000000"/>
          <w:sz w:val="32"/>
          <w:highlight w:val="none"/>
        </w:rPr>
        <w:t>分工及负责人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9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>承担单位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>负责人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>分工：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  <w:lang w:eastAsia="zh-CN"/>
              </w:rPr>
              <w:t>参与单位：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>负责人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  <w:t>分工：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964" w:firstLineChars="300"/>
              <w:jc w:val="left"/>
              <w:rPr>
                <w:rFonts w:hint="eastAsia"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</w:tbl>
    <w:p>
      <w:pPr>
        <w:tabs>
          <w:tab w:val="left" w:pos="2221"/>
        </w:tabs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sectPr>
          <w:footerReference r:id="rId3" w:type="default"/>
          <w:pgSz w:w="11906" w:h="16838"/>
          <w:pgMar w:top="2098" w:right="1418" w:bottom="1702" w:left="1588" w:header="737" w:footer="851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left"/>
        <w:rPr>
          <w:rFonts w:hint="eastAsia" w:ascii="仿宋_GB2312" w:eastAsia="仿宋_GB2312"/>
          <w:b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2"/>
          <w:highlight w:val="none"/>
        </w:rPr>
        <w:t>四、项目负责人及主要研究人员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06"/>
        <w:gridCol w:w="985"/>
        <w:gridCol w:w="1902"/>
        <w:gridCol w:w="2146"/>
        <w:gridCol w:w="2261"/>
        <w:gridCol w:w="226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序号</w:t>
            </w:r>
          </w:p>
        </w:tc>
        <w:tc>
          <w:tcPr>
            <w:tcW w:w="110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姓名</w:t>
            </w:r>
          </w:p>
        </w:tc>
        <w:tc>
          <w:tcPr>
            <w:tcW w:w="9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年龄</w:t>
            </w:r>
          </w:p>
        </w:tc>
        <w:tc>
          <w:tcPr>
            <w:tcW w:w="19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单位</w:t>
            </w:r>
          </w:p>
        </w:tc>
        <w:tc>
          <w:tcPr>
            <w:tcW w:w="21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职务/职称</w:t>
            </w:r>
          </w:p>
        </w:tc>
        <w:tc>
          <w:tcPr>
            <w:tcW w:w="22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  <w:lang w:val="en-US" w:eastAsia="zh-CN"/>
              </w:rPr>
              <w:t>专业</w:t>
            </w:r>
          </w:p>
        </w:tc>
        <w:tc>
          <w:tcPr>
            <w:tcW w:w="22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30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职务</w:t>
            </w: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color w:val="000000"/>
          <w:sz w:val="32"/>
          <w:highlight w:val="none"/>
        </w:rPr>
        <w:sectPr>
          <w:pgSz w:w="16838" w:h="11906" w:orient="landscape"/>
          <w:pgMar w:top="1588" w:right="2098" w:bottom="1418" w:left="1702" w:header="737" w:footer="851" w:gutter="0"/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2221"/>
        </w:tabs>
        <w:adjustRightInd w:val="0"/>
        <w:snapToGrid w:val="0"/>
        <w:spacing w:line="360" w:lineRule="auto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>五、年度计划内容及考核目标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年度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（或季度）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left="1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计划内容及考核目标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计划内容：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考核目标：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计划内容：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考核目标：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计划内容：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考核目标：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计划内容：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考核目标：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tabs>
          <w:tab w:val="left" w:pos="1380"/>
        </w:tabs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  <w:r>
        <w:rPr>
          <w:rFonts w:ascii="仿宋_GB2312" w:hAnsi="宋体" w:eastAsia="仿宋_GB2312"/>
          <w:color w:val="000000"/>
          <w:sz w:val="32"/>
          <w:highlight w:val="none"/>
        </w:rPr>
        <w:br w:type="page"/>
      </w:r>
      <w:r>
        <w:rPr>
          <w:rFonts w:hint="eastAsia" w:ascii="仿宋_GB2312" w:hAnsi="宋体" w:eastAsia="仿宋_GB2312"/>
          <w:b/>
          <w:color w:val="000000"/>
          <w:sz w:val="32"/>
          <w:highlight w:val="none"/>
        </w:rPr>
        <w:t>六、</w:t>
      </w: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 xml:space="preserve">经费预算        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金额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万元</w:t>
      </w:r>
    </w:p>
    <w:tbl>
      <w:tblPr>
        <w:tblStyle w:val="10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302"/>
        <w:gridCol w:w="4678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经 费 投 入 预 算</w:t>
            </w:r>
          </w:p>
        </w:tc>
        <w:tc>
          <w:tcPr>
            <w:tcW w:w="6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经 费 支 出 预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目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额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目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计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承担单位拨款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（一）直接费用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参与单位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拨款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1.研究人员费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其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它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2.设备费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（1）购置设备费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（2）试制设备费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（3）设备改造与租赁费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3.材料费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4.测试化验加工费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5.燃料动力费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6.差旅/会议/国际合作与交流费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7.出版/文献/信息传播/知识产权事务费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8.劳务费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9.专家咨询费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10.其他支出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left="210" w:leftChars="10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/>
              <w:ind w:left="0" w:leftChars="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（二）间接费用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left="210" w:leftChars="10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tabs>
          <w:tab w:val="left" w:pos="1380"/>
        </w:tabs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</w:p>
    <w:p>
      <w:pPr>
        <w:tabs>
          <w:tab w:val="left" w:pos="1380"/>
        </w:tabs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600" w:lineRule="exact"/>
        <w:jc w:val="both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  <w:r>
        <w:rPr>
          <w:rFonts w:ascii="Arial" w:hAnsi="Arial" w:eastAsia="仿宋_GB2312"/>
          <w:b/>
          <w:color w:val="000000"/>
          <w:sz w:val="32"/>
          <w:szCs w:val="30"/>
          <w:highlight w:val="none"/>
        </w:rPr>
        <w:br w:type="page"/>
      </w: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>七、共同条款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签约各方共同遵守《</w:t>
      </w: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科研</w:t>
      </w: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项目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管理办法》。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sz w:val="32"/>
          <w:highlight w:val="none"/>
        </w:rPr>
      </w:pPr>
      <w:r>
        <w:rPr>
          <w:rFonts w:ascii="仿宋_GB2312" w:hAnsi="宋体" w:eastAsia="仿宋_GB2312"/>
          <w:color w:val="000000"/>
          <w:sz w:val="32"/>
          <w:highlight w:val="none"/>
        </w:rPr>
        <w:t>1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.项目研发过程中，</w:t>
      </w:r>
      <w:r>
        <w:rPr>
          <w:rFonts w:ascii="仿宋_GB2312" w:hAnsi="宋体" w:eastAsia="仿宋_GB2312"/>
          <w:color w:val="000000"/>
          <w:sz w:val="32"/>
          <w:highlight w:val="none"/>
        </w:rPr>
        <w:t>乙方必须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按要求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</w:rPr>
        <w:t>向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val="en-US" w:eastAsia="zh-CN"/>
        </w:rPr>
        <w:t>甲方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</w:rPr>
        <w:t>提交《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val="en-US" w:eastAsia="zh-CN"/>
        </w:rPr>
        <w:t>科研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eastAsia="zh-CN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</w:rPr>
        <w:t>执行情况报告》</w:t>
      </w:r>
      <w:r>
        <w:rPr>
          <w:rFonts w:ascii="仿宋_GB2312" w:hAnsi="宋体" w:eastAsia="仿宋_GB2312"/>
          <w:color w:val="000000"/>
          <w:sz w:val="32"/>
          <w:highlight w:val="none"/>
        </w:rPr>
        <w:t>，逾期不报，甲方有权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终止项目</w:t>
      </w:r>
      <w:r>
        <w:rPr>
          <w:rFonts w:ascii="仿宋_GB2312" w:hAnsi="宋体" w:eastAsia="仿宋_GB2312"/>
          <w:color w:val="000000"/>
          <w:sz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sz w:val="32"/>
          <w:highlight w:val="none"/>
        </w:rPr>
      </w:pPr>
      <w:r>
        <w:rPr>
          <w:rFonts w:ascii="仿宋_GB2312" w:hAnsi="宋体" w:eastAsia="仿宋_GB2312"/>
          <w:color w:val="000000"/>
          <w:sz w:val="32"/>
          <w:highlight w:val="none"/>
        </w:rPr>
        <w:t>2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.</w:t>
      </w:r>
      <w:r>
        <w:rPr>
          <w:rFonts w:ascii="仿宋_GB2312" w:hAnsi="宋体" w:eastAsia="仿宋_GB2312"/>
          <w:color w:val="000000"/>
          <w:sz w:val="32"/>
          <w:highlight w:val="none"/>
        </w:rPr>
        <w:t>合同执行过程中，乙方如需修改合同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内容</w:t>
      </w:r>
      <w:r>
        <w:rPr>
          <w:rFonts w:ascii="仿宋_GB2312" w:hAnsi="宋体" w:eastAsia="仿宋_GB2312"/>
          <w:color w:val="000000"/>
          <w:sz w:val="32"/>
          <w:highlight w:val="none"/>
        </w:rPr>
        <w:t>，应向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甲方</w:t>
      </w:r>
      <w:r>
        <w:rPr>
          <w:rFonts w:ascii="仿宋_GB2312" w:hAnsi="宋体" w:eastAsia="仿宋_GB2312"/>
          <w:color w:val="000000"/>
          <w:sz w:val="32"/>
          <w:highlight w:val="none"/>
        </w:rPr>
        <w:t>提出变更内容及理由的申请报告，经审核批准后实施。未接到正式批准书以前，双方仍须按原合同条款履行，否则后果由自行修改条款的一方负责。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ascii="仿宋_GB2312" w:hAnsi="宋体" w:eastAsia="仿宋_GB2312"/>
          <w:color w:val="000000"/>
          <w:sz w:val="32"/>
          <w:highlight w:val="none"/>
        </w:rPr>
        <w:t>3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.乙方因主观原因致使计划无法执行，甲方视情况有权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终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止</w:t>
      </w: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合同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，并采取相应的措施。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4.甲方应协助解决合同执行过程中出现的问题。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.本合同一式**份，甲方存二份，乙、丙方各存一份，每份加盖单位公章有效。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.其它约定：</w:t>
      </w:r>
    </w:p>
    <w:p>
      <w:pPr>
        <w:tabs>
          <w:tab w:val="left" w:pos="2221"/>
        </w:tabs>
        <w:adjustRightInd w:val="0"/>
        <w:snapToGrid w:val="0"/>
        <w:spacing w:line="580" w:lineRule="exact"/>
        <w:jc w:val="both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  <w:r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  <w:br w:type="page"/>
      </w:r>
      <w:r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  <w:t>八、合同签约各方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（甲方）     （公章）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val="en-US" w:eastAsia="zh-CN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                     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                                   年   月   日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承担单位：（乙方）                         （公章）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项目负责人：（签字）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联  系  人：  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联系人电话及电子邮箱：</w:t>
      </w:r>
    </w:p>
    <w:p>
      <w:pPr>
        <w:adjustRightInd w:val="0"/>
        <w:snapToGrid w:val="0"/>
        <w:spacing w:line="580" w:lineRule="exact"/>
        <w:ind w:firstLine="1600" w:firstLineChars="5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580" w:lineRule="exact"/>
        <w:ind w:firstLine="1600" w:firstLineChars="5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                           年    月    日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  <w:lang w:eastAsia="zh-CN"/>
        </w:rPr>
        <w:t>参与单位</w:t>
      </w:r>
      <w:r>
        <w:rPr>
          <w:rFonts w:hint="eastAsia" w:ascii="仿宋_GB2312" w:hAnsi="宋体" w:eastAsia="仿宋_GB2312"/>
          <w:color w:val="000000"/>
          <w:sz w:val="32"/>
          <w:highlight w:val="none"/>
        </w:rPr>
        <w:t>：（丙方）                       （公章）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项目负责人：（签字）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联  系  人：  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>联系人电话及电子邮箱：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highlight w:val="none"/>
        </w:rPr>
        <w:t xml:space="preserve">                                  年   月    日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</w:p>
    <w:sectPr>
      <w:footerReference r:id="rId4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0E57E9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AD70A9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1CD9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966</Words>
  <Characters>990</Characters>
  <Lines>12</Lines>
  <Paragraphs>3</Paragraphs>
  <TotalTime>3</TotalTime>
  <ScaleCrop>false</ScaleCrop>
  <LinksUpToDate>false</LinksUpToDate>
  <CharactersWithSpaces>1499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2023-04-21T05:56:20Z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